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2CB7" w:rsidRPr="00F153EF" w:rsidRDefault="00B32CB7" w:rsidP="00B32CB7">
      <w:pPr>
        <w:pStyle w:val="TemplateWarning-DrinkingWaterWarning16pt"/>
      </w:pPr>
      <w:r w:rsidRPr="00162B33">
        <w:t>IMPORTANT INFORMATION ABOUT YOUR DRINKING WATER</w:t>
      </w:r>
      <w:r w:rsidRPr="00F153EF">
        <w:t xml:space="preserve"> </w:t>
      </w:r>
    </w:p>
    <w:p w:rsidR="00B32CB7" w:rsidRPr="007F6F6D" w:rsidRDefault="00B32CB7" w:rsidP="00B32CB7">
      <w:pPr>
        <w:pStyle w:val="TemplateWarning-DrinkingWaterWarning14pt"/>
        <w:rPr>
          <w:sz w:val="26"/>
          <w:szCs w:val="26"/>
        </w:rPr>
      </w:pPr>
      <w:r w:rsidRPr="007F6F6D">
        <w:rPr>
          <w:sz w:val="26"/>
          <w:szCs w:val="26"/>
        </w:rPr>
        <w:t>Availability of Monitoring Data for Unregulated Contaminants for Luke Air Force Base</w:t>
      </w:r>
    </w:p>
    <w:p w:rsidR="000C26E5" w:rsidRPr="000C26E5" w:rsidRDefault="00B32CB7" w:rsidP="000C26E5">
      <w:pPr>
        <w:pStyle w:val="TemplateWarningText10pt"/>
        <w:rPr>
          <w:rFonts w:ascii="Times New Roman" w:hAnsi="Times New Roman"/>
          <w:sz w:val="23"/>
          <w:szCs w:val="23"/>
        </w:rPr>
      </w:pPr>
      <w:r w:rsidRPr="000C26E5">
        <w:rPr>
          <w:rFonts w:ascii="Times New Roman" w:hAnsi="Times New Roman"/>
          <w:sz w:val="23"/>
          <w:szCs w:val="23"/>
        </w:rPr>
        <w:t xml:space="preserve">Our water system has </w:t>
      </w:r>
      <w:r w:rsidR="000C26E5" w:rsidRPr="000C26E5">
        <w:rPr>
          <w:rFonts w:ascii="Times New Roman" w:hAnsi="Times New Roman"/>
          <w:sz w:val="23"/>
          <w:szCs w:val="23"/>
        </w:rPr>
        <w:t xml:space="preserve">been </w:t>
      </w:r>
      <w:r w:rsidRPr="000C26E5">
        <w:rPr>
          <w:rFonts w:ascii="Times New Roman" w:hAnsi="Times New Roman"/>
          <w:sz w:val="23"/>
          <w:szCs w:val="23"/>
        </w:rPr>
        <w:t>sampled for a series of unregulated contaminants</w:t>
      </w:r>
      <w:r w:rsidR="000C26E5" w:rsidRPr="000C26E5">
        <w:rPr>
          <w:rFonts w:ascii="Times New Roman" w:hAnsi="Times New Roman"/>
          <w:sz w:val="23"/>
          <w:szCs w:val="23"/>
        </w:rPr>
        <w:t>, which are</w:t>
      </w:r>
      <w:r w:rsidRPr="000C26E5">
        <w:rPr>
          <w:rFonts w:ascii="Times New Roman" w:hAnsi="Times New Roman"/>
          <w:sz w:val="23"/>
          <w:szCs w:val="23"/>
        </w:rPr>
        <w:t xml:space="preserve"> </w:t>
      </w:r>
      <w:r w:rsidR="000C26E5" w:rsidRPr="000C26E5">
        <w:rPr>
          <w:rFonts w:ascii="Times New Roman" w:hAnsi="Times New Roman"/>
          <w:sz w:val="23"/>
          <w:szCs w:val="23"/>
        </w:rPr>
        <w:t>c</w:t>
      </w:r>
      <w:r w:rsidRPr="000C26E5">
        <w:rPr>
          <w:rFonts w:ascii="Times New Roman" w:hAnsi="Times New Roman"/>
          <w:sz w:val="23"/>
          <w:szCs w:val="23"/>
        </w:rPr>
        <w:t>ontaminants that do</w:t>
      </w:r>
      <w:r w:rsidR="00D35F86">
        <w:rPr>
          <w:rFonts w:ascii="Times New Roman" w:hAnsi="Times New Roman"/>
          <w:sz w:val="23"/>
          <w:szCs w:val="23"/>
        </w:rPr>
        <w:t xml:space="preserve"> </w:t>
      </w:r>
      <w:r w:rsidRPr="000C26E5">
        <w:rPr>
          <w:rFonts w:ascii="Times New Roman" w:hAnsi="Times New Roman"/>
          <w:sz w:val="23"/>
          <w:szCs w:val="23"/>
        </w:rPr>
        <w:t>n</w:t>
      </w:r>
      <w:r w:rsidR="00D35F86">
        <w:rPr>
          <w:rFonts w:ascii="Times New Roman" w:hAnsi="Times New Roman"/>
          <w:sz w:val="23"/>
          <w:szCs w:val="23"/>
        </w:rPr>
        <w:t>o</w:t>
      </w:r>
      <w:r w:rsidRPr="000C26E5">
        <w:rPr>
          <w:rFonts w:ascii="Times New Roman" w:hAnsi="Times New Roman"/>
          <w:sz w:val="23"/>
          <w:szCs w:val="23"/>
        </w:rPr>
        <w:t>t yet have a drinking water standard set by</w:t>
      </w:r>
      <w:r w:rsidR="00D35F86">
        <w:rPr>
          <w:rFonts w:ascii="Times New Roman" w:hAnsi="Times New Roman"/>
          <w:sz w:val="23"/>
          <w:szCs w:val="23"/>
        </w:rPr>
        <w:t xml:space="preserve"> Environmental Protection Agency (</w:t>
      </w:r>
      <w:r w:rsidRPr="000C26E5">
        <w:rPr>
          <w:rFonts w:ascii="Times New Roman" w:hAnsi="Times New Roman"/>
          <w:sz w:val="23"/>
          <w:szCs w:val="23"/>
        </w:rPr>
        <w:t>EPA</w:t>
      </w:r>
      <w:r w:rsidR="00D35F86">
        <w:rPr>
          <w:rFonts w:ascii="Times New Roman" w:hAnsi="Times New Roman"/>
          <w:sz w:val="23"/>
          <w:szCs w:val="23"/>
        </w:rPr>
        <w:t>)</w:t>
      </w:r>
      <w:r w:rsidRPr="000C26E5">
        <w:rPr>
          <w:rFonts w:ascii="Times New Roman" w:hAnsi="Times New Roman"/>
          <w:sz w:val="23"/>
          <w:szCs w:val="23"/>
        </w:rPr>
        <w:t xml:space="preserve">. The purpose of monitoring for these contaminants is to help </w:t>
      </w:r>
      <w:r w:rsidR="000C26E5" w:rsidRPr="000C26E5">
        <w:rPr>
          <w:rFonts w:ascii="Times New Roman" w:hAnsi="Times New Roman"/>
          <w:sz w:val="23"/>
          <w:szCs w:val="23"/>
        </w:rPr>
        <w:t xml:space="preserve">the </w:t>
      </w:r>
      <w:r w:rsidRPr="000C26E5">
        <w:rPr>
          <w:rFonts w:ascii="Times New Roman" w:hAnsi="Times New Roman"/>
          <w:sz w:val="23"/>
          <w:szCs w:val="23"/>
        </w:rPr>
        <w:t>EPA decide whether the</w:t>
      </w:r>
      <w:r w:rsidR="000C26E5" w:rsidRPr="000C26E5">
        <w:rPr>
          <w:rFonts w:ascii="Times New Roman" w:hAnsi="Times New Roman"/>
          <w:sz w:val="23"/>
          <w:szCs w:val="23"/>
        </w:rPr>
        <w:t>ses</w:t>
      </w:r>
      <w:r w:rsidRPr="000C26E5">
        <w:rPr>
          <w:rFonts w:ascii="Times New Roman" w:hAnsi="Times New Roman"/>
          <w:sz w:val="23"/>
          <w:szCs w:val="23"/>
        </w:rPr>
        <w:t xml:space="preserve"> contaminants should have a standard</w:t>
      </w:r>
      <w:r w:rsidR="000C26E5" w:rsidRPr="000C26E5">
        <w:rPr>
          <w:rFonts w:ascii="Times New Roman" w:hAnsi="Times New Roman"/>
          <w:sz w:val="23"/>
          <w:szCs w:val="23"/>
        </w:rPr>
        <w:t xml:space="preserve"> in the future</w:t>
      </w:r>
      <w:r w:rsidRPr="000C26E5">
        <w:rPr>
          <w:rFonts w:ascii="Times New Roman" w:hAnsi="Times New Roman"/>
          <w:sz w:val="23"/>
          <w:szCs w:val="23"/>
        </w:rPr>
        <w:t>.</w:t>
      </w:r>
    </w:p>
    <w:p w:rsidR="002F180D" w:rsidRPr="000C26E5" w:rsidRDefault="00B32CB7" w:rsidP="000C26E5">
      <w:pPr>
        <w:pStyle w:val="TemplateWarningText10pt"/>
        <w:rPr>
          <w:rFonts w:ascii="Times New Roman" w:hAnsi="Times New Roman"/>
          <w:sz w:val="23"/>
          <w:szCs w:val="23"/>
        </w:rPr>
      </w:pPr>
      <w:r w:rsidRPr="000C26E5">
        <w:rPr>
          <w:rFonts w:ascii="Times New Roman" w:hAnsi="Times New Roman"/>
          <w:sz w:val="23"/>
          <w:szCs w:val="23"/>
        </w:rPr>
        <w:t xml:space="preserve">As our customers, you have a right to know that these data are available. On March 5, </w:t>
      </w:r>
      <w:r w:rsidR="0016598A" w:rsidRPr="000C26E5">
        <w:rPr>
          <w:rFonts w:ascii="Times New Roman" w:hAnsi="Times New Roman"/>
          <w:sz w:val="23"/>
          <w:szCs w:val="23"/>
        </w:rPr>
        <w:t>2024,</w:t>
      </w:r>
      <w:r w:rsidRPr="000C26E5">
        <w:rPr>
          <w:rFonts w:ascii="Times New Roman" w:hAnsi="Times New Roman"/>
          <w:sz w:val="23"/>
          <w:szCs w:val="23"/>
        </w:rPr>
        <w:t xml:space="preserve"> we sampled our Liberty </w:t>
      </w:r>
      <w:r w:rsidR="00D35F86">
        <w:rPr>
          <w:rFonts w:ascii="Times New Roman" w:hAnsi="Times New Roman"/>
          <w:sz w:val="23"/>
          <w:szCs w:val="23"/>
        </w:rPr>
        <w:t xml:space="preserve">Utilities </w:t>
      </w:r>
      <w:r w:rsidRPr="000C26E5">
        <w:rPr>
          <w:rFonts w:ascii="Times New Roman" w:hAnsi="Times New Roman"/>
          <w:sz w:val="23"/>
          <w:szCs w:val="23"/>
        </w:rPr>
        <w:t>water connection for</w:t>
      </w:r>
      <w:r w:rsidR="00FA728D" w:rsidRPr="000C26E5">
        <w:rPr>
          <w:rFonts w:ascii="Times New Roman" w:hAnsi="Times New Roman"/>
          <w:sz w:val="23"/>
          <w:szCs w:val="23"/>
        </w:rPr>
        <w:t xml:space="preserve"> Fifth</w:t>
      </w:r>
      <w:r w:rsidRPr="000C26E5">
        <w:rPr>
          <w:rFonts w:ascii="Times New Roman" w:hAnsi="Times New Roman"/>
          <w:sz w:val="23"/>
          <w:szCs w:val="23"/>
        </w:rPr>
        <w:t xml:space="preserve"> </w:t>
      </w:r>
      <w:r w:rsidR="007F6F6D" w:rsidRPr="000C26E5">
        <w:rPr>
          <w:rFonts w:ascii="Times New Roman" w:hAnsi="Times New Roman"/>
          <w:sz w:val="23"/>
          <w:szCs w:val="23"/>
        </w:rPr>
        <w:t>Unregulated Contaminant Monitoring Rule (</w:t>
      </w:r>
      <w:r w:rsidRPr="000C26E5">
        <w:rPr>
          <w:rFonts w:ascii="Times New Roman" w:hAnsi="Times New Roman"/>
          <w:sz w:val="23"/>
          <w:szCs w:val="23"/>
        </w:rPr>
        <w:t>UCMR5</w:t>
      </w:r>
      <w:r w:rsidR="007F6F6D" w:rsidRPr="000C26E5">
        <w:rPr>
          <w:rFonts w:ascii="Times New Roman" w:hAnsi="Times New Roman"/>
          <w:sz w:val="23"/>
          <w:szCs w:val="23"/>
        </w:rPr>
        <w:t>)</w:t>
      </w:r>
      <w:r w:rsidRPr="000C26E5">
        <w:rPr>
          <w:rFonts w:ascii="Times New Roman" w:hAnsi="Times New Roman"/>
          <w:sz w:val="23"/>
          <w:szCs w:val="23"/>
        </w:rPr>
        <w:t xml:space="preserve"> </w:t>
      </w:r>
      <w:r w:rsidR="00FA728D" w:rsidRPr="000C26E5">
        <w:rPr>
          <w:rFonts w:ascii="Times New Roman" w:hAnsi="Times New Roman"/>
          <w:sz w:val="23"/>
          <w:szCs w:val="23"/>
        </w:rPr>
        <w:t xml:space="preserve">analytes, </w:t>
      </w:r>
      <w:r w:rsidRPr="000C26E5">
        <w:rPr>
          <w:rFonts w:ascii="Times New Roman" w:hAnsi="Times New Roman"/>
          <w:sz w:val="23"/>
          <w:szCs w:val="23"/>
        </w:rPr>
        <w:t>which include</w:t>
      </w:r>
      <w:r w:rsidR="00A36F86" w:rsidRPr="000C26E5">
        <w:rPr>
          <w:rFonts w:ascii="Times New Roman" w:hAnsi="Times New Roman"/>
          <w:sz w:val="23"/>
          <w:szCs w:val="23"/>
        </w:rPr>
        <w:t>s six</w:t>
      </w:r>
      <w:r w:rsidRPr="000C26E5">
        <w:rPr>
          <w:rFonts w:ascii="Times New Roman" w:hAnsi="Times New Roman"/>
          <w:sz w:val="23"/>
          <w:szCs w:val="23"/>
        </w:rPr>
        <w:t xml:space="preserve"> </w:t>
      </w:r>
      <w:r w:rsidR="00D35F86" w:rsidRPr="00D35F86">
        <w:rPr>
          <w:rFonts w:ascii="Times New Roman" w:hAnsi="Times New Roman"/>
          <w:sz w:val="23"/>
          <w:szCs w:val="23"/>
        </w:rPr>
        <w:t>per- and polyfluoroalkyl substances</w:t>
      </w:r>
      <w:r w:rsidR="00D35F86">
        <w:rPr>
          <w:rFonts w:ascii="Times New Roman" w:hAnsi="Times New Roman"/>
          <w:sz w:val="23"/>
          <w:szCs w:val="23"/>
        </w:rPr>
        <w:t xml:space="preserve"> (PFAS) </w:t>
      </w:r>
      <w:r w:rsidR="000C26E5">
        <w:rPr>
          <w:rFonts w:ascii="Times New Roman" w:hAnsi="Times New Roman"/>
          <w:sz w:val="23"/>
          <w:szCs w:val="23"/>
        </w:rPr>
        <w:t xml:space="preserve">as well as </w:t>
      </w:r>
      <w:r w:rsidR="00A36F86" w:rsidRPr="000C26E5">
        <w:rPr>
          <w:rFonts w:ascii="Times New Roman" w:hAnsi="Times New Roman"/>
          <w:sz w:val="23"/>
          <w:szCs w:val="23"/>
        </w:rPr>
        <w:t>Lithium</w:t>
      </w:r>
      <w:r w:rsidR="001253EA" w:rsidRPr="000C26E5">
        <w:rPr>
          <w:rFonts w:ascii="Times New Roman" w:hAnsi="Times New Roman"/>
          <w:sz w:val="23"/>
          <w:szCs w:val="23"/>
        </w:rPr>
        <w:t xml:space="preserve">. </w:t>
      </w:r>
      <w:r w:rsidR="00D35F86">
        <w:rPr>
          <w:rFonts w:ascii="Times New Roman" w:hAnsi="Times New Roman"/>
          <w:sz w:val="23"/>
          <w:szCs w:val="23"/>
        </w:rPr>
        <w:t xml:space="preserve">The EPA requires systems to report any results above </w:t>
      </w:r>
      <w:r w:rsidR="00D35F86" w:rsidRPr="00D35F86">
        <w:rPr>
          <w:rFonts w:ascii="Times New Roman" w:hAnsi="Times New Roman"/>
          <w:sz w:val="23"/>
          <w:szCs w:val="23"/>
        </w:rPr>
        <w:t xml:space="preserve">Minimum Reporting Levels </w:t>
      </w:r>
      <w:r w:rsidR="00D35F86">
        <w:rPr>
          <w:rFonts w:ascii="Times New Roman" w:hAnsi="Times New Roman"/>
          <w:sz w:val="23"/>
          <w:szCs w:val="23"/>
        </w:rPr>
        <w:t>within 12 months of the receipt of results</w:t>
      </w:r>
      <w:r w:rsidR="004131FC">
        <w:rPr>
          <w:rFonts w:ascii="Times New Roman" w:hAnsi="Times New Roman"/>
          <w:sz w:val="23"/>
          <w:szCs w:val="23"/>
        </w:rPr>
        <w:t xml:space="preserve"> (May 7, 2024)</w:t>
      </w:r>
      <w:r w:rsidR="00D35F86">
        <w:rPr>
          <w:rFonts w:ascii="Times New Roman" w:hAnsi="Times New Roman"/>
          <w:sz w:val="23"/>
          <w:szCs w:val="23"/>
        </w:rPr>
        <w:t xml:space="preserve">. </w:t>
      </w:r>
      <w:r w:rsidR="002F180D" w:rsidRPr="000C26E5">
        <w:rPr>
          <w:rFonts w:ascii="Times New Roman" w:hAnsi="Times New Roman"/>
          <w:sz w:val="23"/>
          <w:szCs w:val="23"/>
        </w:rPr>
        <w:t>The results of this testing are found below: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990"/>
        <w:gridCol w:w="990"/>
        <w:gridCol w:w="990"/>
        <w:gridCol w:w="1080"/>
        <w:gridCol w:w="810"/>
        <w:gridCol w:w="810"/>
        <w:gridCol w:w="1710"/>
      </w:tblGrid>
      <w:tr w:rsidR="00F15323" w:rsidTr="000C26E5">
        <w:trPr>
          <w:trHeight w:val="143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0C26E5">
              <w:rPr>
                <w:b/>
                <w:color w:val="FFFFFF" w:themeColor="background1"/>
                <w:sz w:val="18"/>
                <w:szCs w:val="18"/>
              </w:rPr>
              <w:t>LIBERTY UTILITY WATER CONSECUTIVE CONNECTION SOURCE</w:t>
            </w: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Analyte (metal)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MCL Violation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 or 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 of Results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Detection Range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A36F86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</w:t>
            </w:r>
            <w:r w:rsidR="00F15323">
              <w:rPr>
                <w:b/>
                <w:sz w:val="18"/>
                <w:szCs w:val="18"/>
              </w:rPr>
              <w:t xml:space="preserve"> 2029 MCL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(ppb)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MCLG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(ppb)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Sample 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Likely Source of Contamination</w:t>
            </w: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Lithium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333412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Naturally occurring metal that may concentrate in brine waters; lithium salts are used as pharmaceuticals, used in electrochemical cells, batteries, and in organic syntheses.</w:t>
            </w: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Pr="00584D0A" w:rsidRDefault="00F15323" w:rsidP="000C26E5">
            <w:pPr>
              <w:pStyle w:val="BodyTextIndent"/>
              <w:spacing w:after="0"/>
              <w:ind w:left="0"/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Analyte (PFAS)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MCL Violation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 or 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 of Results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Detection Range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A36F86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</w:t>
            </w:r>
            <w:r w:rsidR="00F15323">
              <w:rPr>
                <w:b/>
                <w:sz w:val="18"/>
                <w:szCs w:val="18"/>
              </w:rPr>
              <w:t xml:space="preserve"> 2029 MCL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MCLG</w:t>
            </w:r>
          </w:p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Sample 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5323" w:rsidRDefault="00F15323" w:rsidP="000C26E5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Likely Source of Contamination</w:t>
            </w: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Perfluorooctanesulfonic</w:t>
            </w:r>
            <w:proofErr w:type="spellEnd"/>
            <w:r>
              <w:rPr>
                <w:bCs/>
                <w:sz w:val="18"/>
                <w:szCs w:val="18"/>
              </w:rPr>
              <w:t xml:space="preserve"> acid (PFOS)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11.3 - 11.7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Man-made chemicals widely used in industry and consumer products since 1940s. See above definition for PFAS.</w:t>
            </w: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Perfluorooctanoic acid (PFOA)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9.4 - 10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Perfluorohexanesulfonic</w:t>
            </w:r>
            <w:proofErr w:type="spellEnd"/>
            <w:r>
              <w:rPr>
                <w:bCs/>
                <w:sz w:val="18"/>
                <w:szCs w:val="18"/>
              </w:rPr>
              <w:t xml:space="preserve"> acid (</w:t>
            </w:r>
            <w:proofErr w:type="spellStart"/>
            <w:r>
              <w:rPr>
                <w:bCs/>
                <w:sz w:val="18"/>
                <w:szCs w:val="18"/>
              </w:rPr>
              <w:t>PFHxS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 – 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Perfluorobutanesulfonic</w:t>
            </w:r>
            <w:proofErr w:type="spellEnd"/>
            <w:r>
              <w:rPr>
                <w:bCs/>
                <w:sz w:val="18"/>
                <w:szCs w:val="18"/>
              </w:rPr>
              <w:t xml:space="preserve"> acid (PFBS)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Hexafluoropropylene Oxide Dimer Acid (HFPO-DA)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F15323" w:rsidTr="000C26E5">
        <w:trPr>
          <w:trHeight w:val="14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Perfluorononanoic</w:t>
            </w:r>
            <w:proofErr w:type="spellEnd"/>
            <w:r>
              <w:rPr>
                <w:bCs/>
                <w:sz w:val="18"/>
                <w:szCs w:val="18"/>
              </w:rPr>
              <w:t xml:space="preserve"> acid (PFNA)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F15323" w:rsidTr="000C26E5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PFAS Hazard Index (HI)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A36F86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3" w:rsidRDefault="00F15323" w:rsidP="00AF6151">
            <w:pPr>
              <w:rPr>
                <w:sz w:val="18"/>
                <w:szCs w:val="18"/>
                <w:vertAlign w:val="superscript"/>
              </w:rPr>
            </w:pPr>
          </w:p>
        </w:tc>
      </w:tr>
    </w:tbl>
    <w:p w:rsidR="002F180D" w:rsidRPr="000C26E5" w:rsidRDefault="000C26E5" w:rsidP="00B32CB7">
      <w:pPr>
        <w:pStyle w:val="TemplateWarningText10pt"/>
        <w:pBdr>
          <w:bottom w:val="single" w:sz="12" w:space="1" w:color="auto"/>
        </w:pBdr>
        <w:rPr>
          <w:rFonts w:ascii="Times New Roman" w:hAnsi="Times New Roman"/>
          <w:sz w:val="23"/>
          <w:szCs w:val="23"/>
        </w:rPr>
      </w:pPr>
      <w:r w:rsidRPr="000C26E5">
        <w:rPr>
          <w:rFonts w:ascii="Times New Roman" w:hAnsi="Times New Roman"/>
          <w:sz w:val="23"/>
          <w:szCs w:val="23"/>
          <w:u w:val="single"/>
        </w:rPr>
        <w:t>Please be advised</w:t>
      </w:r>
      <w:r w:rsidRPr="000C26E5">
        <w:rPr>
          <w:rFonts w:ascii="Times New Roman" w:hAnsi="Times New Roman"/>
          <w:sz w:val="23"/>
          <w:szCs w:val="23"/>
        </w:rPr>
        <w:t xml:space="preserve"> - t</w:t>
      </w:r>
      <w:r w:rsidR="007F6F6D" w:rsidRPr="000C26E5">
        <w:rPr>
          <w:rFonts w:ascii="Times New Roman" w:hAnsi="Times New Roman"/>
          <w:sz w:val="23"/>
          <w:szCs w:val="23"/>
        </w:rPr>
        <w:t xml:space="preserve">he </w:t>
      </w:r>
      <w:r w:rsidR="002F180D" w:rsidRPr="000C26E5">
        <w:rPr>
          <w:rFonts w:ascii="Times New Roman" w:hAnsi="Times New Roman"/>
          <w:sz w:val="23"/>
          <w:szCs w:val="23"/>
        </w:rPr>
        <w:t xml:space="preserve">Liberty water connection only contributes 30% of the total water </w:t>
      </w:r>
      <w:r w:rsidR="007F6F6D" w:rsidRPr="000C26E5">
        <w:rPr>
          <w:rFonts w:ascii="Times New Roman" w:hAnsi="Times New Roman"/>
          <w:sz w:val="23"/>
          <w:szCs w:val="23"/>
        </w:rPr>
        <w:t xml:space="preserve">in Luke AFB’s </w:t>
      </w:r>
      <w:r w:rsidR="0066530A" w:rsidRPr="000C26E5">
        <w:rPr>
          <w:rFonts w:ascii="Times New Roman" w:hAnsi="Times New Roman"/>
          <w:sz w:val="23"/>
          <w:szCs w:val="23"/>
        </w:rPr>
        <w:t>d</w:t>
      </w:r>
      <w:r w:rsidR="002F180D" w:rsidRPr="000C26E5">
        <w:rPr>
          <w:rFonts w:ascii="Times New Roman" w:hAnsi="Times New Roman"/>
          <w:sz w:val="23"/>
          <w:szCs w:val="23"/>
        </w:rPr>
        <w:t>istribution system</w:t>
      </w:r>
      <w:r w:rsidR="007F6F6D" w:rsidRPr="000C26E5">
        <w:rPr>
          <w:rFonts w:ascii="Times New Roman" w:hAnsi="Times New Roman"/>
          <w:sz w:val="23"/>
          <w:szCs w:val="23"/>
        </w:rPr>
        <w:t>.  Luke’s other sources of water (on-base wells</w:t>
      </w:r>
      <w:r>
        <w:rPr>
          <w:rFonts w:ascii="Times New Roman" w:hAnsi="Times New Roman"/>
          <w:sz w:val="23"/>
          <w:szCs w:val="23"/>
        </w:rPr>
        <w:t xml:space="preserve"> and</w:t>
      </w:r>
      <w:r w:rsidR="007F6F6D" w:rsidRPr="000C26E5">
        <w:rPr>
          <w:rFonts w:ascii="Times New Roman" w:hAnsi="Times New Roman"/>
          <w:sz w:val="23"/>
          <w:szCs w:val="23"/>
        </w:rPr>
        <w:t xml:space="preserve"> water purchased from other community suppliers) tested below minimum detectable limits for UCMR5 analytes.  Liberty water is blended with other sources, minimizing UCMR5 </w:t>
      </w:r>
      <w:r w:rsidR="002F180D" w:rsidRPr="000C26E5">
        <w:rPr>
          <w:rFonts w:ascii="Times New Roman" w:hAnsi="Times New Roman"/>
          <w:sz w:val="23"/>
          <w:szCs w:val="23"/>
        </w:rPr>
        <w:t>concentration</w:t>
      </w:r>
      <w:r w:rsidR="007F6F6D" w:rsidRPr="000C26E5">
        <w:rPr>
          <w:rFonts w:ascii="Times New Roman" w:hAnsi="Times New Roman"/>
          <w:sz w:val="23"/>
          <w:szCs w:val="23"/>
        </w:rPr>
        <w:t>s</w:t>
      </w:r>
      <w:r w:rsidR="002F180D" w:rsidRPr="000C26E5">
        <w:rPr>
          <w:rFonts w:ascii="Times New Roman" w:hAnsi="Times New Roman"/>
          <w:sz w:val="23"/>
          <w:szCs w:val="23"/>
        </w:rPr>
        <w:t xml:space="preserve"> </w:t>
      </w:r>
      <w:r w:rsidR="007F6F6D" w:rsidRPr="000C26E5">
        <w:rPr>
          <w:rFonts w:ascii="Times New Roman" w:hAnsi="Times New Roman"/>
          <w:sz w:val="23"/>
          <w:szCs w:val="23"/>
        </w:rPr>
        <w:t>at</w:t>
      </w:r>
      <w:r w:rsidR="002F180D" w:rsidRPr="000C26E5">
        <w:rPr>
          <w:rFonts w:ascii="Times New Roman" w:hAnsi="Times New Roman"/>
          <w:sz w:val="23"/>
          <w:szCs w:val="23"/>
        </w:rPr>
        <w:t xml:space="preserve"> the tap.</w:t>
      </w:r>
    </w:p>
    <w:p w:rsidR="00B32CB7" w:rsidRDefault="00B32CB7" w:rsidP="000C26E5">
      <w:pPr>
        <w:pStyle w:val="TemplateWarningText10pt"/>
        <w:rPr>
          <w:sz w:val="22"/>
          <w:szCs w:val="22"/>
        </w:rPr>
      </w:pPr>
      <w:r w:rsidRPr="000C26E5">
        <w:rPr>
          <w:rFonts w:ascii="Times New Roman" w:hAnsi="Times New Roman"/>
          <w:sz w:val="23"/>
          <w:szCs w:val="23"/>
        </w:rPr>
        <w:t>Please share this information with all the other people who drink this water</w:t>
      </w:r>
      <w:r w:rsidR="00D35F86">
        <w:rPr>
          <w:rFonts w:ascii="Times New Roman" w:hAnsi="Times New Roman"/>
          <w:sz w:val="23"/>
          <w:szCs w:val="23"/>
        </w:rPr>
        <w:t xml:space="preserve">. </w:t>
      </w:r>
      <w:r w:rsidRPr="000C26E5">
        <w:rPr>
          <w:rFonts w:ascii="Times New Roman" w:hAnsi="Times New Roman"/>
          <w:sz w:val="23"/>
          <w:szCs w:val="23"/>
        </w:rPr>
        <w:t xml:space="preserve">You can do this by posting this notice in a public place or distributing copies by hand or mail. </w:t>
      </w:r>
    </w:p>
    <w:sectPr w:rsidR="00B32CB7">
      <w:footerReference w:type="default" r:id="rId7"/>
      <w:type w:val="continuous"/>
      <w:pgSz w:w="12240" w:h="15840"/>
      <w:pgMar w:top="460" w:right="1560" w:bottom="28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138" w:rsidRDefault="005A6138" w:rsidP="00FB6DEA">
      <w:r>
        <w:separator/>
      </w:r>
    </w:p>
  </w:endnote>
  <w:endnote w:type="continuationSeparator" w:id="0">
    <w:p w:rsidR="005A6138" w:rsidRDefault="005A6138" w:rsidP="00FB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6E5" w:rsidRPr="00863C92" w:rsidRDefault="000C26E5" w:rsidP="000C26E5">
    <w:pPr>
      <w:pStyle w:val="Default"/>
      <w:ind w:firstLine="90"/>
      <w:rPr>
        <w:sz w:val="22"/>
        <w:szCs w:val="22"/>
      </w:rPr>
    </w:pPr>
    <w:r w:rsidRPr="00863C92">
      <w:rPr>
        <w:sz w:val="22"/>
        <w:szCs w:val="22"/>
      </w:rPr>
      <w:t xml:space="preserve">This notice is being sent by Luke Air Force Base </w:t>
    </w:r>
  </w:p>
  <w:p w:rsidR="000C26E5" w:rsidRPr="00863C92" w:rsidRDefault="000C26E5" w:rsidP="000C26E5">
    <w:pPr>
      <w:pStyle w:val="Heading1"/>
      <w:kinsoku w:val="0"/>
      <w:overflowPunct w:val="0"/>
      <w:spacing w:before="163"/>
      <w:rPr>
        <w:sz w:val="24"/>
        <w:szCs w:val="24"/>
      </w:rPr>
    </w:pPr>
    <w:r w:rsidRPr="00863C92">
      <w:rPr>
        <w:sz w:val="24"/>
        <w:szCs w:val="24"/>
      </w:rPr>
      <w:t xml:space="preserve">Date distributed: </w:t>
    </w:r>
    <w:r w:rsidR="009A6F1C">
      <w:rPr>
        <w:sz w:val="24"/>
        <w:szCs w:val="24"/>
      </w:rPr>
      <w:t>15</w:t>
    </w:r>
    <w:r w:rsidRPr="00863C92">
      <w:rPr>
        <w:sz w:val="24"/>
        <w:szCs w:val="24"/>
      </w:rPr>
      <w:t xml:space="preserve"> MAR 202</w:t>
    </w:r>
    <w:r>
      <w:rPr>
        <w:sz w:val="24"/>
        <w:szCs w:val="24"/>
      </w:rPr>
      <w:t>5</w:t>
    </w:r>
  </w:p>
  <w:p w:rsidR="000C26E5" w:rsidRPr="002F1800" w:rsidRDefault="000C26E5" w:rsidP="000C26E5">
    <w:pPr>
      <w:pStyle w:val="BodyText"/>
      <w:kinsoku w:val="0"/>
      <w:overflowPunct w:val="0"/>
      <w:ind w:left="100"/>
      <w:rPr>
        <w:b/>
        <w:bCs/>
      </w:rPr>
    </w:pPr>
    <w:r w:rsidRPr="00863C92">
      <w:rPr>
        <w:b/>
        <w:bCs/>
      </w:rPr>
      <w:t>Public Water System ID#</w:t>
    </w:r>
    <w:r w:rsidRPr="00863C92">
      <w:rPr>
        <w:b/>
        <w:bCs/>
        <w:spacing w:val="59"/>
      </w:rPr>
      <w:t xml:space="preserve"> </w:t>
    </w:r>
    <w:r w:rsidRPr="00863C92">
      <w:rPr>
        <w:b/>
        <w:bCs/>
      </w:rPr>
      <w:t>AZ0407305</w:t>
    </w:r>
  </w:p>
  <w:p w:rsidR="00FB6DEA" w:rsidRDefault="00FB6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138" w:rsidRDefault="005A6138" w:rsidP="00FB6DEA">
      <w:r>
        <w:separator/>
      </w:r>
    </w:p>
  </w:footnote>
  <w:footnote w:type="continuationSeparator" w:id="0">
    <w:p w:rsidR="005A6138" w:rsidRDefault="005A6138" w:rsidP="00FB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9"/>
    <w:rsid w:val="00011A48"/>
    <w:rsid w:val="000251F1"/>
    <w:rsid w:val="0003131B"/>
    <w:rsid w:val="00033109"/>
    <w:rsid w:val="000C26E5"/>
    <w:rsid w:val="000D78F3"/>
    <w:rsid w:val="0011752D"/>
    <w:rsid w:val="001245F8"/>
    <w:rsid w:val="001253EA"/>
    <w:rsid w:val="00133E93"/>
    <w:rsid w:val="0016598A"/>
    <w:rsid w:val="00183DB4"/>
    <w:rsid w:val="001D423D"/>
    <w:rsid w:val="001F50E5"/>
    <w:rsid w:val="002028DC"/>
    <w:rsid w:val="0022391B"/>
    <w:rsid w:val="002500CE"/>
    <w:rsid w:val="002B7FAA"/>
    <w:rsid w:val="002D2CB1"/>
    <w:rsid w:val="002F1800"/>
    <w:rsid w:val="002F180D"/>
    <w:rsid w:val="00324088"/>
    <w:rsid w:val="00333412"/>
    <w:rsid w:val="003765E7"/>
    <w:rsid w:val="00395AC3"/>
    <w:rsid w:val="003B4EFA"/>
    <w:rsid w:val="00404B0F"/>
    <w:rsid w:val="004131FC"/>
    <w:rsid w:val="00426D7A"/>
    <w:rsid w:val="0043340F"/>
    <w:rsid w:val="004370E5"/>
    <w:rsid w:val="00467756"/>
    <w:rsid w:val="004E0F9D"/>
    <w:rsid w:val="004F615D"/>
    <w:rsid w:val="0057175A"/>
    <w:rsid w:val="00572D7D"/>
    <w:rsid w:val="005A6138"/>
    <w:rsid w:val="00604B36"/>
    <w:rsid w:val="006525EE"/>
    <w:rsid w:val="0066530A"/>
    <w:rsid w:val="006660CA"/>
    <w:rsid w:val="00682FCC"/>
    <w:rsid w:val="006A5E8B"/>
    <w:rsid w:val="006A7315"/>
    <w:rsid w:val="006B3684"/>
    <w:rsid w:val="006E3D6C"/>
    <w:rsid w:val="006F297D"/>
    <w:rsid w:val="0072772C"/>
    <w:rsid w:val="00756F8C"/>
    <w:rsid w:val="007B694D"/>
    <w:rsid w:val="007F6F6D"/>
    <w:rsid w:val="00805AD1"/>
    <w:rsid w:val="00863C92"/>
    <w:rsid w:val="0088013D"/>
    <w:rsid w:val="00892484"/>
    <w:rsid w:val="008A0108"/>
    <w:rsid w:val="008A1251"/>
    <w:rsid w:val="008A7E32"/>
    <w:rsid w:val="008B4495"/>
    <w:rsid w:val="008E1D4D"/>
    <w:rsid w:val="009622CC"/>
    <w:rsid w:val="009A6F1C"/>
    <w:rsid w:val="00A16C54"/>
    <w:rsid w:val="00A36F86"/>
    <w:rsid w:val="00A74C9D"/>
    <w:rsid w:val="00AB2934"/>
    <w:rsid w:val="00AC4CB3"/>
    <w:rsid w:val="00B07951"/>
    <w:rsid w:val="00B17D93"/>
    <w:rsid w:val="00B32CB7"/>
    <w:rsid w:val="00BF28AF"/>
    <w:rsid w:val="00C65A3E"/>
    <w:rsid w:val="00CD22B9"/>
    <w:rsid w:val="00D35F86"/>
    <w:rsid w:val="00D46D07"/>
    <w:rsid w:val="00DB145B"/>
    <w:rsid w:val="00DC1A4C"/>
    <w:rsid w:val="00DD72B1"/>
    <w:rsid w:val="00DE0EC8"/>
    <w:rsid w:val="00E05FEF"/>
    <w:rsid w:val="00E520F7"/>
    <w:rsid w:val="00E821A4"/>
    <w:rsid w:val="00EB0F5B"/>
    <w:rsid w:val="00EB1766"/>
    <w:rsid w:val="00ED01BB"/>
    <w:rsid w:val="00F15323"/>
    <w:rsid w:val="00F22503"/>
    <w:rsid w:val="00FA728D"/>
    <w:rsid w:val="00FB6DEA"/>
    <w:rsid w:val="00FE6EF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B942B"/>
  <w14:defaultImageDpi w14:val="0"/>
  <w15:docId w15:val="{E612EF11-7CC3-4081-9F87-5EAD5BD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22" w:lineRule="exact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276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2F180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6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36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3684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6DE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6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DEA"/>
    <w:rPr>
      <w:rFonts w:ascii="Times New Roman" w:hAnsi="Times New Roman" w:cs="Times New Roman"/>
    </w:rPr>
  </w:style>
  <w:style w:type="paragraph" w:customStyle="1" w:styleId="TemplateALLTopTitle">
    <w:name w:val="Template ALL Top Title"/>
    <w:basedOn w:val="Normal"/>
    <w:qFormat/>
    <w:rsid w:val="00B32CB7"/>
    <w:pPr>
      <w:pageBreakBefore/>
      <w:widowControl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000000"/>
      <w:spacing w:line="252" w:lineRule="auto"/>
      <w:jc w:val="center"/>
      <w:outlineLvl w:val="1"/>
    </w:pPr>
    <w:rPr>
      <w:rFonts w:ascii="Calibri" w:eastAsia="Times New Roman" w:hAnsi="Calibri" w:cs="Arial"/>
      <w:b/>
      <w:bCs/>
      <w:color w:val="FFFFFF"/>
      <w:sz w:val="30"/>
      <w:szCs w:val="20"/>
      <w:lang w:val="en-CA"/>
    </w:rPr>
  </w:style>
  <w:style w:type="paragraph" w:customStyle="1" w:styleId="TemplateWarning-DrinkingWaterWarning16pt">
    <w:name w:val="Template Warning- Drinking Water Warning (16pt)"/>
    <w:basedOn w:val="Normal"/>
    <w:qFormat/>
    <w:rsid w:val="00B32CB7"/>
    <w:pPr>
      <w:widowControl/>
      <w:tabs>
        <w:tab w:val="left" w:pos="4950"/>
      </w:tabs>
      <w:spacing w:after="200" w:line="252" w:lineRule="auto"/>
      <w:jc w:val="center"/>
    </w:pPr>
    <w:rPr>
      <w:rFonts w:ascii="Calibri" w:eastAsia="Times New Roman" w:hAnsi="Calibri" w:cs="Arial"/>
      <w:b/>
      <w:sz w:val="32"/>
      <w:szCs w:val="20"/>
    </w:rPr>
  </w:style>
  <w:style w:type="paragraph" w:customStyle="1" w:styleId="TemplateWarningText10pt">
    <w:name w:val="Template Warning Text (10pt)"/>
    <w:basedOn w:val="Normal"/>
    <w:rsid w:val="00B32CB7"/>
    <w:pPr>
      <w:widowControl/>
      <w:spacing w:before="120" w:after="120" w:line="252" w:lineRule="auto"/>
    </w:pPr>
    <w:rPr>
      <w:rFonts w:ascii="Calibri" w:eastAsia="Times New Roman" w:hAnsi="Calibri"/>
      <w:sz w:val="20"/>
      <w:szCs w:val="20"/>
    </w:rPr>
  </w:style>
  <w:style w:type="paragraph" w:customStyle="1" w:styleId="TemplateWarning-DrinkingWaterWarning14pt">
    <w:name w:val="Template Warning- Drinking Water Warning (14pt)"/>
    <w:basedOn w:val="TemplateWarning-DrinkingWaterWarning16pt"/>
    <w:qFormat/>
    <w:rsid w:val="00B32CB7"/>
    <w:rPr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323"/>
    <w:pPr>
      <w:widowControl/>
      <w:autoSpaceDE/>
      <w:autoSpaceDN/>
      <w:adjustRightInd/>
      <w:spacing w:after="12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323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D2CB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D4FA-A6AA-4609-93BF-E0E241B3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Trihalomethanes &amp; Haloacetic Acids - Maximum Contaminant Level Exceedances - Public Notification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Trihalomethanes &amp; Haloacetic Acids - Maximum Contaminant Level Exceedances - Public Notification</dc:title>
  <dc:subject>Public Notification Template - Total Trihalomethanes &amp; Haloacetic Acids - Maximum Contaminant Level Exceedances</dc:subject>
  <dc:creator>EPA R8 - Drinking Water Unit</dc:creator>
  <cp:keywords>PN; Public Notification; TTHM; Total Trihalomethanes; HAA5; Haloacetic Acids; MCL; Maximum Contaminant Level;</cp:keywords>
  <dc:description/>
  <cp:lastModifiedBy>JACKSON, PARRISH A TSgt USAF AETC 56 FW/CCEA</cp:lastModifiedBy>
  <cp:revision>1</cp:revision>
  <cp:lastPrinted>2025-02-11T13:53:00Z</cp:lastPrinted>
  <dcterms:created xsi:type="dcterms:W3CDTF">2025-03-10T16:05:00Z</dcterms:created>
  <dcterms:modified xsi:type="dcterms:W3CDTF">2025-03-10T16:05:00Z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